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Pr="000D1448" w:rsidRDefault="009E77FC">
      <w:pPr>
        <w:rPr>
          <w:rFonts w:ascii="Arial" w:hAnsi="Arial" w:cs="Arial"/>
          <w:sz w:val="18"/>
          <w:szCs w:val="18"/>
        </w:rPr>
      </w:pPr>
    </w:p>
    <w:p w14:paraId="37AA9145" w14:textId="5F9B4F93" w:rsidR="0035280C" w:rsidRPr="000D1448" w:rsidRDefault="0035280C">
      <w:pPr>
        <w:rPr>
          <w:rFonts w:ascii="Arial" w:hAnsi="Arial" w:cs="Arial"/>
          <w:sz w:val="18"/>
          <w:szCs w:val="18"/>
        </w:rPr>
      </w:pPr>
      <w:r w:rsidRPr="000D144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0D1448" w14:paraId="094A54A9" w14:textId="77777777" w:rsidTr="000D1448">
        <w:trPr>
          <w:trHeight w:val="1077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62F8CC8C" w:rsidR="009E77FC" w:rsidRPr="000D1448" w:rsidRDefault="0042444C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 xml:space="preserve">History of </w:t>
            </w:r>
            <w:r w:rsidR="00416032" w:rsidRPr="000D1448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British Folklore</w:t>
            </w:r>
          </w:p>
          <w:p w14:paraId="5F243DE7" w14:textId="10EB800C" w:rsidR="001A5E25" w:rsidRPr="000D1448" w:rsidRDefault="00FC32D8" w:rsidP="001537F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D144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04E5A88B" w14:textId="0E4744BA" w:rsidR="009E77FC" w:rsidRPr="000D1448" w:rsidRDefault="00CC6646" w:rsidP="001537F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D144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1537F5" w:rsidRPr="000D144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0D1448" w14:paraId="47E97B75" w14:textId="77777777" w:rsidTr="1A4B1B56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0D1448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35C5B4FB" w:rsidR="001537F5" w:rsidRPr="000D1448" w:rsidRDefault="15FFD789" w:rsidP="3DDF664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D1448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416032"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6032"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who</w:t>
            </w:r>
            <w:proofErr w:type="spellEnd"/>
            <w:r w:rsidR="00416032"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 interested in researching British Folklore. As well as looking at English, Irish, </w:t>
            </w:r>
            <w:proofErr w:type="gramStart"/>
            <w:r w:rsidR="00416032"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Scottish</w:t>
            </w:r>
            <w:proofErr w:type="gramEnd"/>
            <w:r w:rsidR="00416032"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Welsh folklore we will investigate stories unique to Merseyside. You will be able to research areas of interest to you.</w:t>
            </w:r>
          </w:p>
        </w:tc>
      </w:tr>
      <w:tr w:rsidR="006A7AAA" w:rsidRPr="000D1448" w14:paraId="33F6A418" w14:textId="77777777" w:rsidTr="000D1448">
        <w:trPr>
          <w:trHeight w:val="76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0D1448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0D1448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D14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000D14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0D14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000D14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4909E767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FF4591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  <w:p w14:paraId="2B1C9BC7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Induction; initial assessment and setting of personal </w:t>
            </w:r>
            <w:proofErr w:type="gramStart"/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targets</w:t>
            </w:r>
            <w:proofErr w:type="gramEnd"/>
          </w:p>
          <w:p w14:paraId="0390DB71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Folklore – what is it, and why should we learn about it?</w:t>
            </w:r>
          </w:p>
          <w:p w14:paraId="673F2FBA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British History – from the Ice Age to the Nuclear Age</w:t>
            </w:r>
          </w:p>
          <w:p w14:paraId="7E16DCD1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222D7E" w14:textId="4018F410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2</w:t>
            </w:r>
          </w:p>
          <w:p w14:paraId="10382673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Places: including the Calder Stones, Glastonbury, Stonehenge</w:t>
            </w:r>
          </w:p>
          <w:p w14:paraId="5527BDED" w14:textId="77777777" w:rsidR="00560C81" w:rsidRPr="000D1448" w:rsidRDefault="00560C81" w:rsidP="00560C81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AE171E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3</w:t>
            </w:r>
          </w:p>
          <w:p w14:paraId="61B9DAEC" w14:textId="77777777" w:rsidR="00560C81" w:rsidRPr="000D1448" w:rsidRDefault="00560C81" w:rsidP="00560C8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Folk heroes and villains:  King Arthur, Robin Hood, Jack the Ripper</w:t>
            </w:r>
          </w:p>
          <w:p w14:paraId="321087D8" w14:textId="77777777" w:rsidR="00560C81" w:rsidRPr="000D1448" w:rsidRDefault="00560C81" w:rsidP="00560C81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3849D4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4</w:t>
            </w:r>
          </w:p>
          <w:p w14:paraId="6D75141E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Beasts in British folklore: unicorns, dragons, </w:t>
            </w:r>
            <w:proofErr w:type="gramStart"/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Nessie</w:t>
            </w:r>
            <w:proofErr w:type="gramEnd"/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Hound of the Baskervilles</w:t>
            </w:r>
          </w:p>
          <w:p w14:paraId="3F91B564" w14:textId="77777777" w:rsidR="00560C81" w:rsidRPr="000D1448" w:rsidRDefault="00560C81" w:rsidP="00560C81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E885C8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5</w:t>
            </w:r>
          </w:p>
          <w:p w14:paraId="1F530601" w14:textId="52AB6669" w:rsidR="00560C81" w:rsidRPr="000D1448" w:rsidRDefault="00560C81" w:rsidP="00B01260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>Fairy Folk; the history of witchcraft</w:t>
            </w:r>
          </w:p>
          <w:p w14:paraId="40FB1C0E" w14:textId="77777777" w:rsidR="00560C81" w:rsidRPr="000D1448" w:rsidRDefault="00560C81" w:rsidP="00560C81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A1866" w14:textId="77777777" w:rsidR="00560C81" w:rsidRPr="000D1448" w:rsidRDefault="00560C81" w:rsidP="00560C8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6</w:t>
            </w:r>
          </w:p>
          <w:p w14:paraId="3726D832" w14:textId="77777777" w:rsidR="00560C81" w:rsidRPr="000D1448" w:rsidRDefault="00560C81" w:rsidP="00560C8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Supernatural beings – ghosts and ghoulies and Spring Heeled Jack</w:t>
            </w:r>
          </w:p>
          <w:p w14:paraId="10B9A123" w14:textId="1CB6F8F1" w:rsidR="006A7AAA" w:rsidRPr="000D1448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87E4EB" w14:textId="4772D985" w:rsidR="006A7AAA" w:rsidRPr="000D1448" w:rsidRDefault="006A7AAA" w:rsidP="53EBC44B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0D1448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000D1448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000D1448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0D144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5FB0818" w14:textId="2BA14282" w:rsidR="006A7AAA" w:rsidRPr="000D1448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1537F5" w:rsidRPr="000D1448" w14:paraId="28891EA8" w14:textId="77777777" w:rsidTr="1A4B1B56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0D1448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47FD8F" w14:textId="3BA90BA8" w:rsidR="3DDF6648" w:rsidRPr="000D1448" w:rsidRDefault="001870A1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  <w:r w:rsidRPr="000D1448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  <w:t xml:space="preserve">This is a course for complete beginners and no prior </w:t>
            </w:r>
            <w:r w:rsidRPr="000D1448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  <w:u w:val="single"/>
              </w:rPr>
              <w:t>subject</w:t>
            </w:r>
            <w:r w:rsidRPr="000D1448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  <w:t xml:space="preserve"> knowledge or skills are required</w:t>
            </w:r>
            <w:r w:rsidR="008D5F46">
              <w:rPr>
                <w:rStyle w:val="normaltextrun"/>
                <w:rFonts w:ascii="Arial" w:eastAsia="Arial" w:hAnsi="Arial" w:cs="Arial"/>
                <w:b/>
                <w:bCs/>
                <w:iCs/>
                <w:color w:val="000000" w:themeColor="text1"/>
              </w:rPr>
              <w:t xml:space="preserve">.  </w:t>
            </w:r>
            <w:r w:rsidR="008D5F46" w:rsidRPr="008D5F46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English skills at Level 1 needed.  This course is </w:t>
            </w:r>
            <w:r w:rsidRPr="008D5F46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research</w:t>
            </w:r>
            <w:r w:rsidRPr="000D1448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-based</w:t>
            </w:r>
            <w:r w:rsidR="008D5F46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so you will need to have basic ICT skills to research online</w:t>
            </w:r>
            <w:r w:rsidRPr="000D1448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.  </w:t>
            </w:r>
          </w:p>
          <w:p w14:paraId="72AEAABD" w14:textId="77777777" w:rsidR="00AC785A" w:rsidRPr="000D1448" w:rsidRDefault="00AC785A" w:rsidP="3B03E0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</w:p>
          <w:p w14:paraId="6BECF4F3" w14:textId="72EFC03C" w:rsidR="006F432D" w:rsidRPr="000D1448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0D1448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0D1448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7C7E0928" w14:textId="3B3E648A" w:rsidR="006F432D" w:rsidRPr="000D1448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0D1448">
              <w:rPr>
                <w:rStyle w:val="normaltextrun"/>
                <w:rFonts w:ascii="Arial" w:eastAsia="Arial" w:hAnsi="Arial" w:cs="Arial"/>
                <w:iCs/>
              </w:rPr>
              <w:t xml:space="preserve">follow verbal and written instructions and work through them at your own </w:t>
            </w:r>
            <w:proofErr w:type="gramStart"/>
            <w:r w:rsidRPr="000D1448">
              <w:rPr>
                <w:rStyle w:val="normaltextrun"/>
                <w:rFonts w:ascii="Arial" w:eastAsia="Arial" w:hAnsi="Arial" w:cs="Arial"/>
                <w:iCs/>
              </w:rPr>
              <w:t>pace</w:t>
            </w:r>
            <w:proofErr w:type="gramEnd"/>
            <w:r w:rsidRPr="000D1448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A323F8B" w14:textId="32E5FB4F" w:rsidR="006F432D" w:rsidRPr="000D1448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0D1448">
              <w:rPr>
                <w:rStyle w:val="normaltextrun"/>
                <w:rFonts w:ascii="Arial" w:eastAsia="Arial" w:hAnsi="Arial" w:cs="Arial"/>
                <w:iCs/>
              </w:rPr>
              <w:t xml:space="preserve">listen and join in group </w:t>
            </w:r>
            <w:proofErr w:type="gramStart"/>
            <w:r w:rsidRPr="000D1448">
              <w:rPr>
                <w:rStyle w:val="normaltextrun"/>
                <w:rFonts w:ascii="Arial" w:eastAsia="Arial" w:hAnsi="Arial" w:cs="Arial"/>
                <w:iCs/>
              </w:rPr>
              <w:t>discussions</w:t>
            </w:r>
            <w:proofErr w:type="gramEnd"/>
            <w:r w:rsidRPr="000D1448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44BC5C49" w14:textId="1B51F9B9" w:rsidR="006F432D" w:rsidRPr="000D1448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0D1448">
              <w:rPr>
                <w:rStyle w:val="normaltextrun"/>
                <w:rFonts w:ascii="Arial" w:eastAsia="Arial" w:hAnsi="Arial" w:cs="Arial"/>
                <w:iCs/>
              </w:rPr>
              <w:t xml:space="preserve">jot down notes to record relevant </w:t>
            </w:r>
            <w:proofErr w:type="gramStart"/>
            <w:r w:rsidRPr="000D1448">
              <w:rPr>
                <w:rStyle w:val="normaltextrun"/>
                <w:rFonts w:ascii="Arial" w:eastAsia="Arial" w:hAnsi="Arial" w:cs="Arial"/>
                <w:iCs/>
              </w:rPr>
              <w:t>information</w:t>
            </w:r>
            <w:proofErr w:type="gramEnd"/>
            <w:r w:rsidRPr="000D1448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92D3D7B" w14:textId="59513458" w:rsidR="006F432D" w:rsidRPr="000D1448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0D1448">
              <w:rPr>
                <w:rStyle w:val="normaltextrun"/>
                <w:rFonts w:ascii="Arial" w:eastAsia="Arial" w:hAnsi="Arial" w:cs="Arial"/>
                <w:iCs/>
              </w:rPr>
              <w:t xml:space="preserve">keep your work organised in a </w:t>
            </w:r>
            <w:proofErr w:type="gramStart"/>
            <w:r w:rsidRPr="000D1448">
              <w:rPr>
                <w:rStyle w:val="normaltextrun"/>
                <w:rFonts w:ascii="Arial" w:eastAsia="Arial" w:hAnsi="Arial" w:cs="Arial"/>
                <w:iCs/>
              </w:rPr>
              <w:t>file</w:t>
            </w:r>
            <w:proofErr w:type="gramEnd"/>
            <w:r w:rsidRPr="000D1448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49F31CB" w14:textId="5F31063E" w:rsidR="00FD36EE" w:rsidRPr="000D1448" w:rsidRDefault="006F432D" w:rsidP="008D5F4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i/>
                <w:iCs/>
              </w:rPr>
            </w:pPr>
            <w:r w:rsidRPr="000D1448">
              <w:rPr>
                <w:rStyle w:val="normaltextrun"/>
                <w:rFonts w:ascii="Arial" w:eastAsia="Arial" w:hAnsi="Arial" w:cs="Arial"/>
                <w:iCs/>
              </w:rPr>
              <w:t>use a PC/laptop or tablet for research or to present your work</w:t>
            </w:r>
            <w:r w:rsidR="453FAF2B" w:rsidRPr="000D1448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</w:p>
        </w:tc>
      </w:tr>
      <w:tr w:rsidR="001537F5" w:rsidRPr="000D1448" w14:paraId="0BC200E8" w14:textId="77777777" w:rsidTr="000D1448">
        <w:trPr>
          <w:trHeight w:val="262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0D1448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0D1448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000D1448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0D1448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5E6A627B" w:rsidR="002E26E3" w:rsidRPr="000D1448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 w:rsidRPr="000D1448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000D1448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  <w:r w:rsidR="008D5F4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8D5F46" w:rsidRPr="000D1448">
              <w:rPr>
                <w:rStyle w:val="normaltextrun"/>
                <w:rFonts w:ascii="Arial" w:eastAsia="Arial" w:hAnsi="Arial" w:cs="Arial"/>
                <w:iCs/>
                <w:color w:val="000000" w:themeColor="text1"/>
                <w:sz w:val="24"/>
                <w:szCs w:val="24"/>
              </w:rPr>
              <w:t>We will provide lap-tops, iPads etc. for learners’ use</w:t>
            </w:r>
            <w:r w:rsidR="008D5F46">
              <w:rPr>
                <w:rStyle w:val="normaltextrun"/>
                <w:rFonts w:ascii="Arial" w:eastAsia="Arial" w:hAnsi="Arial" w:cs="Arial"/>
                <w:iCs/>
                <w:color w:val="000000" w:themeColor="text1"/>
                <w:sz w:val="24"/>
                <w:szCs w:val="24"/>
              </w:rPr>
              <w:t xml:space="preserve"> in class</w:t>
            </w:r>
            <w:r w:rsidR="008D5F46" w:rsidRPr="000D1448">
              <w:rPr>
                <w:rStyle w:val="normaltextrun"/>
                <w:rFonts w:ascii="Arial" w:eastAsia="Arial" w:hAnsi="Arial" w:cs="Arial"/>
                <w:iCs/>
                <w:color w:val="000000" w:themeColor="text1"/>
                <w:sz w:val="24"/>
                <w:szCs w:val="24"/>
              </w:rPr>
              <w:t>.  You may also bring your own devices if you prefer</w:t>
            </w:r>
            <w:r w:rsidR="008D5F46">
              <w:rPr>
                <w:rStyle w:val="normaltextrun"/>
                <w:rFonts w:ascii="Arial" w:eastAsia="Arial" w:hAnsi="Arial" w:cs="Arial"/>
                <w:iCs/>
                <w:color w:val="000000" w:themeColor="text1"/>
                <w:sz w:val="24"/>
                <w:szCs w:val="24"/>
              </w:rPr>
              <w:t>.</w:t>
            </w:r>
          </w:p>
          <w:p w14:paraId="798F6DDA" w14:textId="77777777" w:rsidR="00AC785A" w:rsidRPr="000D1448" w:rsidRDefault="00AC785A" w:rsidP="3DDF6648">
            <w:pPr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1E2016B8" w14:textId="19D77425" w:rsidR="001537F5" w:rsidRPr="000D1448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  <w:r w:rsidR="00124FE2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If needed, y</w:t>
            </w:r>
            <w:r w:rsidR="00201568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our tutor will </w:t>
            </w:r>
            <w:r w:rsidR="00963C3C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 able to support you with IT skills </w:t>
            </w:r>
            <w:r w:rsidR="00BA3977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required</w:t>
            </w:r>
            <w:r w:rsidR="00855B07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63C3C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for your course</w:t>
            </w:r>
            <w:r w:rsidR="00855B07"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0D1448" w14:paraId="7A075C7A" w14:textId="77777777" w:rsidTr="1A4B1B56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0D1448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7EBC4576" w:rsidR="00F713FF" w:rsidRPr="000D1448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</w:t>
            </w:r>
            <w:r w:rsidR="34F9214F" w:rsidRPr="000D14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/demonstration</w:t>
            </w:r>
            <w:r w:rsidRPr="000D14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activities.</w:t>
            </w:r>
            <w:r w:rsidR="00AE437E" w:rsidRPr="000D14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0D1448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0D1448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0D1448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0D1448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252ED2D4" w:rsidR="00AC785A" w:rsidRPr="000D1448" w:rsidRDefault="00554492" w:rsidP="00AC785A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0D14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537F5" w:rsidRPr="000D1448" w14:paraId="3895F4DE" w14:textId="77777777" w:rsidTr="1A4B1B56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0D1448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D1448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3F575" w14:textId="0537F6FE" w:rsidR="001B70EC" w:rsidRPr="000D1448" w:rsidRDefault="001A070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On completion of this course, you can progress to </w:t>
            </w:r>
            <w:r w:rsidR="00AC785A" w:rsidRPr="000D144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other courses</w:t>
            </w:r>
            <w:r w:rsidR="00C02DCE" w:rsidRPr="000D144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, for example those offered by Liverpool University, WEA or U3A. Your tutor will provide current information </w:t>
            </w:r>
            <w:r w:rsidR="006F7A44" w:rsidRPr="000D144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during the </w:t>
            </w:r>
            <w:proofErr w:type="gramStart"/>
            <w:r w:rsidR="006F7A44" w:rsidRPr="000D144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course, and</w:t>
            </w:r>
            <w:proofErr w:type="gramEnd"/>
            <w:r w:rsidR="006F7A44" w:rsidRPr="000D144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will give you a copy of the Progression Ladder.</w:t>
            </w:r>
          </w:p>
          <w:p w14:paraId="097E1467" w14:textId="48F25C2C" w:rsidR="001B70EC" w:rsidRPr="000D1448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0D1448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Pr="000D1448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0D1448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Pr="000D1448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522C46B" w14:textId="77777777" w:rsidR="001B70EC" w:rsidRPr="000D1448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D1448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  <w:p w14:paraId="4B99056E" w14:textId="02920BCA" w:rsidR="002A5C2D" w:rsidRPr="000D1448" w:rsidRDefault="002A5C2D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</w:tc>
      </w:tr>
    </w:tbl>
    <w:p w14:paraId="5E17361E" w14:textId="3B8403A0" w:rsidR="00430BE7" w:rsidRPr="000D1448" w:rsidRDefault="00430BE7" w:rsidP="00430BE7">
      <w:pPr>
        <w:tabs>
          <w:tab w:val="left" w:pos="2600"/>
        </w:tabs>
        <w:rPr>
          <w:rFonts w:ascii="Arial" w:hAnsi="Arial" w:cs="Arial"/>
          <w:sz w:val="24"/>
          <w:szCs w:val="24"/>
        </w:rPr>
      </w:pPr>
      <w:r w:rsidRPr="000D1448">
        <w:rPr>
          <w:rFonts w:ascii="Arial" w:hAnsi="Arial" w:cs="Arial"/>
          <w:sz w:val="24"/>
          <w:szCs w:val="24"/>
        </w:rPr>
        <w:tab/>
      </w:r>
    </w:p>
    <w:sectPr w:rsidR="00430BE7" w:rsidRPr="000D1448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79B0"/>
    <w:multiLevelType w:val="hybridMultilevel"/>
    <w:tmpl w:val="E99A37EA"/>
    <w:lvl w:ilvl="0" w:tplc="9C6E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AB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C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F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0C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6C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6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0C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0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CC72E51A"/>
    <w:lvl w:ilvl="0" w:tplc="945C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2D73"/>
    <w:multiLevelType w:val="hybridMultilevel"/>
    <w:tmpl w:val="95D6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958992">
    <w:abstractNumId w:val="0"/>
  </w:num>
  <w:num w:numId="2" w16cid:durableId="1975788842">
    <w:abstractNumId w:val="5"/>
  </w:num>
  <w:num w:numId="3" w16cid:durableId="1917857817">
    <w:abstractNumId w:val="1"/>
  </w:num>
  <w:num w:numId="4" w16cid:durableId="1548954274">
    <w:abstractNumId w:val="3"/>
  </w:num>
  <w:num w:numId="5" w16cid:durableId="1501578801">
    <w:abstractNumId w:val="7"/>
  </w:num>
  <w:num w:numId="6" w16cid:durableId="1458065417">
    <w:abstractNumId w:val="4"/>
  </w:num>
  <w:num w:numId="7" w16cid:durableId="1698697946">
    <w:abstractNumId w:val="2"/>
  </w:num>
  <w:num w:numId="8" w16cid:durableId="180187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8204C"/>
    <w:rsid w:val="000B5D1D"/>
    <w:rsid w:val="000D1448"/>
    <w:rsid w:val="000D4B64"/>
    <w:rsid w:val="00124FE2"/>
    <w:rsid w:val="001537F5"/>
    <w:rsid w:val="0017325C"/>
    <w:rsid w:val="001870A1"/>
    <w:rsid w:val="001A0701"/>
    <w:rsid w:val="001A5E25"/>
    <w:rsid w:val="001B2141"/>
    <w:rsid w:val="001B70EC"/>
    <w:rsid w:val="001F4D6A"/>
    <w:rsid w:val="00201568"/>
    <w:rsid w:val="002452FC"/>
    <w:rsid w:val="0029238C"/>
    <w:rsid w:val="002A1003"/>
    <w:rsid w:val="002A5C2D"/>
    <w:rsid w:val="002E014B"/>
    <w:rsid w:val="002E26E3"/>
    <w:rsid w:val="0035280C"/>
    <w:rsid w:val="00373F8F"/>
    <w:rsid w:val="0038006F"/>
    <w:rsid w:val="003D04D4"/>
    <w:rsid w:val="003F1032"/>
    <w:rsid w:val="00416032"/>
    <w:rsid w:val="0042444C"/>
    <w:rsid w:val="00430BE7"/>
    <w:rsid w:val="00476855"/>
    <w:rsid w:val="00490F06"/>
    <w:rsid w:val="004A1011"/>
    <w:rsid w:val="004B5383"/>
    <w:rsid w:val="0053129F"/>
    <w:rsid w:val="00554492"/>
    <w:rsid w:val="00560C81"/>
    <w:rsid w:val="00595201"/>
    <w:rsid w:val="005D37F6"/>
    <w:rsid w:val="006167FD"/>
    <w:rsid w:val="006A7AAA"/>
    <w:rsid w:val="006B42C3"/>
    <w:rsid w:val="006B6D3D"/>
    <w:rsid w:val="006F432D"/>
    <w:rsid w:val="006F7A44"/>
    <w:rsid w:val="00753324"/>
    <w:rsid w:val="007B47A1"/>
    <w:rsid w:val="007E7637"/>
    <w:rsid w:val="00820D16"/>
    <w:rsid w:val="008422E2"/>
    <w:rsid w:val="00855B07"/>
    <w:rsid w:val="00881945"/>
    <w:rsid w:val="008D5F46"/>
    <w:rsid w:val="00904730"/>
    <w:rsid w:val="009117C5"/>
    <w:rsid w:val="00914EED"/>
    <w:rsid w:val="0095287A"/>
    <w:rsid w:val="00963C3C"/>
    <w:rsid w:val="009A0A6F"/>
    <w:rsid w:val="009C06EC"/>
    <w:rsid w:val="009E333C"/>
    <w:rsid w:val="009E77FC"/>
    <w:rsid w:val="009F7736"/>
    <w:rsid w:val="00A04050"/>
    <w:rsid w:val="00A52D64"/>
    <w:rsid w:val="00A538BD"/>
    <w:rsid w:val="00AA13B9"/>
    <w:rsid w:val="00AC3B73"/>
    <w:rsid w:val="00AC785A"/>
    <w:rsid w:val="00AE437E"/>
    <w:rsid w:val="00B10CEE"/>
    <w:rsid w:val="00BA3977"/>
    <w:rsid w:val="00BD4BD3"/>
    <w:rsid w:val="00BF634C"/>
    <w:rsid w:val="00C02DCE"/>
    <w:rsid w:val="00C04F91"/>
    <w:rsid w:val="00C064C7"/>
    <w:rsid w:val="00C067DD"/>
    <w:rsid w:val="00C63E97"/>
    <w:rsid w:val="00C7212F"/>
    <w:rsid w:val="00CA3CE1"/>
    <w:rsid w:val="00CC6646"/>
    <w:rsid w:val="00CD2928"/>
    <w:rsid w:val="00CF055A"/>
    <w:rsid w:val="00D1497F"/>
    <w:rsid w:val="00D60756"/>
    <w:rsid w:val="00DB0FAA"/>
    <w:rsid w:val="00DD780C"/>
    <w:rsid w:val="00E126E9"/>
    <w:rsid w:val="00E24FD4"/>
    <w:rsid w:val="00EB396E"/>
    <w:rsid w:val="00F0231F"/>
    <w:rsid w:val="00F70483"/>
    <w:rsid w:val="00F713FF"/>
    <w:rsid w:val="00FC32D8"/>
    <w:rsid w:val="00FD36EE"/>
    <w:rsid w:val="020DAFF4"/>
    <w:rsid w:val="0266C151"/>
    <w:rsid w:val="03DD6392"/>
    <w:rsid w:val="0D5DBF92"/>
    <w:rsid w:val="0F0B378A"/>
    <w:rsid w:val="0FB03950"/>
    <w:rsid w:val="0FF43E1C"/>
    <w:rsid w:val="10DAD6EE"/>
    <w:rsid w:val="14B7A9B0"/>
    <w:rsid w:val="15FFD789"/>
    <w:rsid w:val="16B584B7"/>
    <w:rsid w:val="1A4B1B56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1CCF2AA"/>
    <w:rsid w:val="34F9214F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75E958"/>
    <w:rsid w:val="45AA4779"/>
    <w:rsid w:val="462B5F61"/>
    <w:rsid w:val="474C7E11"/>
    <w:rsid w:val="47FF7DF1"/>
    <w:rsid w:val="481FD01D"/>
    <w:rsid w:val="4973A053"/>
    <w:rsid w:val="4B0FA9F7"/>
    <w:rsid w:val="4E8E8735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41B0844"/>
    <w:rsid w:val="78943E37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71EA-B02E-4EF8-9ED0-1A6390328A73}">
  <ds:schemaRefs>
    <ds:schemaRef ds:uri="57c981d3-d567-4661-bd5a-748cc0a44e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54C423-5101-4181-A97C-96D7FCE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3</cp:revision>
  <dcterms:created xsi:type="dcterms:W3CDTF">2023-07-31T13:55:00Z</dcterms:created>
  <dcterms:modified xsi:type="dcterms:W3CDTF">2023-07-31T13:55:00Z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